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60FC" w14:textId="77777777" w:rsidR="00000026" w:rsidRPr="00511556" w:rsidRDefault="00511556" w:rsidP="00511556">
      <w:pPr>
        <w:jc w:val="center"/>
        <w:rPr>
          <w:sz w:val="28"/>
          <w:szCs w:val="28"/>
          <w:lang w:val="en-US"/>
        </w:rPr>
      </w:pPr>
      <w:r w:rsidRPr="00511556">
        <w:rPr>
          <w:sz w:val="28"/>
          <w:szCs w:val="28"/>
          <w:lang w:val="en-US"/>
        </w:rPr>
        <w:t>INTERNATIONAL CIVIL PROCEDURAL LAW</w:t>
      </w:r>
    </w:p>
    <w:p w14:paraId="0A7F863B" w14:textId="77777777" w:rsidR="00511556" w:rsidRDefault="00511556" w:rsidP="00511556">
      <w:pPr>
        <w:jc w:val="center"/>
        <w:rPr>
          <w:i/>
          <w:sz w:val="24"/>
          <w:szCs w:val="24"/>
          <w:lang w:val="en-US"/>
        </w:rPr>
      </w:pPr>
      <w:r>
        <w:rPr>
          <w:i/>
          <w:sz w:val="24"/>
          <w:szCs w:val="24"/>
          <w:lang w:val="en-US"/>
        </w:rPr>
        <w:t>Ioannis Delikostopoulos</w:t>
      </w:r>
    </w:p>
    <w:p w14:paraId="594D4160" w14:textId="77777777" w:rsidR="00625D28" w:rsidRDefault="00625D28" w:rsidP="00511556">
      <w:pPr>
        <w:jc w:val="center"/>
        <w:rPr>
          <w:i/>
          <w:sz w:val="24"/>
          <w:szCs w:val="24"/>
          <w:lang w:val="en-US"/>
        </w:rPr>
      </w:pPr>
      <w:r>
        <w:rPr>
          <w:i/>
          <w:sz w:val="24"/>
          <w:szCs w:val="24"/>
          <w:lang w:val="en-US"/>
        </w:rPr>
        <w:t>Materials and Cases</w:t>
      </w:r>
      <w:r w:rsidR="00CD64B6">
        <w:rPr>
          <w:i/>
          <w:sz w:val="24"/>
          <w:szCs w:val="24"/>
          <w:lang w:val="en-US"/>
        </w:rPr>
        <w:t>. Pointers</w:t>
      </w:r>
    </w:p>
    <w:p w14:paraId="03D1E5B5" w14:textId="42AE1E26" w:rsidR="00511556" w:rsidRPr="00C41A1D" w:rsidRDefault="00511556" w:rsidP="00511556">
      <w:pPr>
        <w:pStyle w:val="a3"/>
        <w:numPr>
          <w:ilvl w:val="0"/>
          <w:numId w:val="1"/>
        </w:numPr>
        <w:jc w:val="both"/>
        <w:rPr>
          <w:b/>
          <w:sz w:val="24"/>
          <w:szCs w:val="24"/>
          <w:lang w:val="en-US"/>
        </w:rPr>
      </w:pPr>
      <w:r>
        <w:rPr>
          <w:b/>
          <w:sz w:val="24"/>
          <w:szCs w:val="24"/>
          <w:lang w:val="en-US"/>
        </w:rPr>
        <w:t xml:space="preserve">Recommended reading: </w:t>
      </w:r>
      <w:r>
        <w:rPr>
          <w:sz w:val="24"/>
          <w:szCs w:val="24"/>
          <w:lang w:val="en-US"/>
        </w:rPr>
        <w:t>Hartley, Civil Jurisdiction and Judgments in Europe, OUP 2017, Dickinson/Lein, The Brussels I Regulation Recast, OUP 2015, Penades Fons, ‘The Effectiveness of EU Law and Private Arbitration’, CMLR 2020, at 1069-1106, Delikostopoulos, ‘Towards European Procedural Primacy in national legal systems’, European Law Journal 2003, at 599-613</w:t>
      </w:r>
      <w:r w:rsidR="00E70860">
        <w:rPr>
          <w:sz w:val="24"/>
          <w:szCs w:val="24"/>
          <w:lang w:val="en-US"/>
        </w:rPr>
        <w:t>, Nielsen, ‘The New Brussels I Regulation’, CMLR 2013, at 503-528, Fouchard/Gaillard/Goldman on International Commercial Arbitration, edited by Gaillard/Savage, Kluwer 1999</w:t>
      </w:r>
      <w:r w:rsidR="00D11CA5">
        <w:rPr>
          <w:sz w:val="24"/>
          <w:szCs w:val="24"/>
          <w:lang w:val="en-US"/>
        </w:rPr>
        <w:t xml:space="preserve">, </w:t>
      </w:r>
      <w:r w:rsidR="00D11CA5">
        <w:rPr>
          <w:sz w:val="24"/>
          <w:szCs w:val="24"/>
        </w:rPr>
        <w:t>Δεληκωστόπουλος</w:t>
      </w:r>
      <w:r w:rsidR="00D11CA5" w:rsidRPr="00D11CA5">
        <w:rPr>
          <w:sz w:val="24"/>
          <w:szCs w:val="24"/>
          <w:lang w:val="en-US"/>
        </w:rPr>
        <w:t xml:space="preserve">, </w:t>
      </w:r>
      <w:r w:rsidR="00D11CA5">
        <w:rPr>
          <w:sz w:val="24"/>
          <w:szCs w:val="24"/>
        </w:rPr>
        <w:t>Ζητήματα</w:t>
      </w:r>
      <w:r w:rsidR="00D11CA5" w:rsidRPr="00D11CA5">
        <w:rPr>
          <w:sz w:val="24"/>
          <w:szCs w:val="24"/>
          <w:lang w:val="en-US"/>
        </w:rPr>
        <w:t xml:space="preserve"> </w:t>
      </w:r>
      <w:r w:rsidR="00D11CA5">
        <w:rPr>
          <w:sz w:val="24"/>
          <w:szCs w:val="24"/>
        </w:rPr>
        <w:t>από</w:t>
      </w:r>
      <w:r w:rsidR="00D11CA5" w:rsidRPr="00D11CA5">
        <w:rPr>
          <w:sz w:val="24"/>
          <w:szCs w:val="24"/>
          <w:lang w:val="en-US"/>
        </w:rPr>
        <w:t xml:space="preserve"> </w:t>
      </w:r>
      <w:r w:rsidR="00D11CA5">
        <w:rPr>
          <w:sz w:val="24"/>
          <w:szCs w:val="24"/>
        </w:rPr>
        <w:t>την</w:t>
      </w:r>
      <w:r w:rsidR="00D11CA5" w:rsidRPr="00D11CA5">
        <w:rPr>
          <w:sz w:val="24"/>
          <w:szCs w:val="24"/>
          <w:lang w:val="en-US"/>
        </w:rPr>
        <w:t xml:space="preserve"> </w:t>
      </w:r>
      <w:r w:rsidR="00D11CA5">
        <w:rPr>
          <w:sz w:val="24"/>
          <w:szCs w:val="24"/>
        </w:rPr>
        <w:t>εφαρμογή</w:t>
      </w:r>
      <w:r w:rsidR="00D11CA5" w:rsidRPr="00D11CA5">
        <w:rPr>
          <w:sz w:val="24"/>
          <w:szCs w:val="24"/>
          <w:lang w:val="en-US"/>
        </w:rPr>
        <w:t xml:space="preserve"> </w:t>
      </w:r>
      <w:r w:rsidR="00D11CA5">
        <w:rPr>
          <w:sz w:val="24"/>
          <w:szCs w:val="24"/>
        </w:rPr>
        <w:t>του</w:t>
      </w:r>
      <w:r w:rsidR="00D11CA5" w:rsidRPr="00D11CA5">
        <w:rPr>
          <w:sz w:val="24"/>
          <w:szCs w:val="24"/>
          <w:lang w:val="en-US"/>
        </w:rPr>
        <w:t xml:space="preserve"> </w:t>
      </w:r>
      <w:r w:rsidR="00D11CA5">
        <w:rPr>
          <w:sz w:val="24"/>
          <w:szCs w:val="24"/>
        </w:rPr>
        <w:t>κανονισμού</w:t>
      </w:r>
      <w:r w:rsidR="00D11CA5" w:rsidRPr="00D11CA5">
        <w:rPr>
          <w:sz w:val="24"/>
          <w:szCs w:val="24"/>
          <w:lang w:val="en-US"/>
        </w:rPr>
        <w:t xml:space="preserve"> 1215/2012 </w:t>
      </w:r>
      <w:r w:rsidR="00D11CA5">
        <w:rPr>
          <w:sz w:val="24"/>
          <w:szCs w:val="24"/>
        </w:rPr>
        <w:t>για</w:t>
      </w:r>
      <w:r w:rsidR="00D11CA5" w:rsidRPr="00D11CA5">
        <w:rPr>
          <w:sz w:val="24"/>
          <w:szCs w:val="24"/>
          <w:lang w:val="en-US"/>
        </w:rPr>
        <w:t xml:space="preserve"> </w:t>
      </w:r>
      <w:r w:rsidR="00D11CA5">
        <w:rPr>
          <w:sz w:val="24"/>
          <w:szCs w:val="24"/>
        </w:rPr>
        <w:t>τη</w:t>
      </w:r>
      <w:r w:rsidR="00D11CA5" w:rsidRPr="00D11CA5">
        <w:rPr>
          <w:sz w:val="24"/>
          <w:szCs w:val="24"/>
          <w:lang w:val="en-US"/>
        </w:rPr>
        <w:t xml:space="preserve"> </w:t>
      </w:r>
      <w:r w:rsidR="00D11CA5">
        <w:rPr>
          <w:sz w:val="24"/>
          <w:szCs w:val="24"/>
        </w:rPr>
        <w:t>διεθνή</w:t>
      </w:r>
      <w:r w:rsidR="00D11CA5" w:rsidRPr="00D11CA5">
        <w:rPr>
          <w:sz w:val="24"/>
          <w:szCs w:val="24"/>
          <w:lang w:val="en-US"/>
        </w:rPr>
        <w:t xml:space="preserve"> </w:t>
      </w:r>
      <w:r w:rsidR="00D11CA5">
        <w:rPr>
          <w:sz w:val="24"/>
          <w:szCs w:val="24"/>
        </w:rPr>
        <w:t>δικαιοδοσία</w:t>
      </w:r>
      <w:r w:rsidR="00D11CA5" w:rsidRPr="00D11CA5">
        <w:rPr>
          <w:sz w:val="24"/>
          <w:szCs w:val="24"/>
          <w:lang w:val="en-US"/>
        </w:rPr>
        <w:t xml:space="preserve"> </w:t>
      </w:r>
      <w:r w:rsidR="00D11CA5">
        <w:rPr>
          <w:sz w:val="24"/>
          <w:szCs w:val="24"/>
        </w:rPr>
        <w:t>και</w:t>
      </w:r>
      <w:r w:rsidR="00D11CA5" w:rsidRPr="00D11CA5">
        <w:rPr>
          <w:sz w:val="24"/>
          <w:szCs w:val="24"/>
          <w:lang w:val="en-US"/>
        </w:rPr>
        <w:t xml:space="preserve"> </w:t>
      </w:r>
      <w:r w:rsidR="00D11CA5">
        <w:rPr>
          <w:sz w:val="24"/>
          <w:szCs w:val="24"/>
        </w:rPr>
        <w:t>την</w:t>
      </w:r>
      <w:r w:rsidR="00D11CA5" w:rsidRPr="00D11CA5">
        <w:rPr>
          <w:sz w:val="24"/>
          <w:szCs w:val="24"/>
          <w:lang w:val="en-US"/>
        </w:rPr>
        <w:t xml:space="preserve"> </w:t>
      </w:r>
      <w:r w:rsidR="00D11CA5">
        <w:rPr>
          <w:sz w:val="24"/>
          <w:szCs w:val="24"/>
        </w:rPr>
        <w:t>εκτέλεση</w:t>
      </w:r>
      <w:r w:rsidR="00D11CA5" w:rsidRPr="00D11CA5">
        <w:rPr>
          <w:sz w:val="24"/>
          <w:szCs w:val="24"/>
          <w:lang w:val="en-US"/>
        </w:rPr>
        <w:t xml:space="preserve"> </w:t>
      </w:r>
      <w:r w:rsidR="00D11CA5">
        <w:rPr>
          <w:sz w:val="24"/>
          <w:szCs w:val="24"/>
        </w:rPr>
        <w:t>αποφάσεων</w:t>
      </w:r>
      <w:r w:rsidR="00D11CA5" w:rsidRPr="00D11CA5">
        <w:rPr>
          <w:sz w:val="24"/>
          <w:szCs w:val="24"/>
          <w:lang w:val="en-US"/>
        </w:rPr>
        <w:t xml:space="preserve">, </w:t>
      </w:r>
      <w:r w:rsidR="00AE4245" w:rsidRPr="00AE4245">
        <w:rPr>
          <w:sz w:val="24"/>
          <w:szCs w:val="24"/>
          <w:lang w:val="en-US"/>
        </w:rPr>
        <w:t>3</w:t>
      </w:r>
      <w:r w:rsidR="00AE4245" w:rsidRPr="00AE4245">
        <w:rPr>
          <w:sz w:val="24"/>
          <w:szCs w:val="24"/>
          <w:vertAlign w:val="superscript"/>
        </w:rPr>
        <w:t>η</w:t>
      </w:r>
      <w:r w:rsidR="00AE4245" w:rsidRPr="00AE4245">
        <w:rPr>
          <w:sz w:val="24"/>
          <w:szCs w:val="24"/>
          <w:lang w:val="en-US"/>
        </w:rPr>
        <w:t xml:space="preserve"> </w:t>
      </w:r>
      <w:r w:rsidR="00AE4245">
        <w:rPr>
          <w:sz w:val="24"/>
          <w:szCs w:val="24"/>
        </w:rPr>
        <w:t>έκδοση</w:t>
      </w:r>
      <w:r w:rsidR="00AE4245" w:rsidRPr="00AE4245">
        <w:rPr>
          <w:sz w:val="24"/>
          <w:szCs w:val="24"/>
          <w:lang w:val="en-US"/>
        </w:rPr>
        <w:t xml:space="preserve"> 2022</w:t>
      </w:r>
      <w:r w:rsidR="00D11CA5" w:rsidRPr="00D11CA5">
        <w:rPr>
          <w:sz w:val="24"/>
          <w:szCs w:val="24"/>
          <w:lang w:val="en-US"/>
        </w:rPr>
        <w:t xml:space="preserve">, </w:t>
      </w:r>
      <w:r w:rsidR="00D11CA5">
        <w:rPr>
          <w:sz w:val="24"/>
          <w:szCs w:val="24"/>
        </w:rPr>
        <w:t>εκδόσεις</w:t>
      </w:r>
      <w:r w:rsidR="00D11CA5" w:rsidRPr="00D11CA5">
        <w:rPr>
          <w:sz w:val="24"/>
          <w:szCs w:val="24"/>
          <w:lang w:val="en-US"/>
        </w:rPr>
        <w:t xml:space="preserve"> </w:t>
      </w:r>
      <w:r w:rsidR="00D11CA5">
        <w:rPr>
          <w:sz w:val="24"/>
          <w:szCs w:val="24"/>
        </w:rPr>
        <w:t>Σάκκουλα</w:t>
      </w:r>
      <w:r w:rsidR="00BF2653">
        <w:rPr>
          <w:sz w:val="24"/>
          <w:szCs w:val="24"/>
          <w:lang w:val="en-US"/>
        </w:rPr>
        <w:t xml:space="preserve">, </w:t>
      </w:r>
      <w:r w:rsidR="00BF2653">
        <w:rPr>
          <w:sz w:val="24"/>
          <w:szCs w:val="24"/>
        </w:rPr>
        <w:t>Δεληκωστόπουλος</w:t>
      </w:r>
      <w:r w:rsidR="00BF2653" w:rsidRPr="00BF2653">
        <w:rPr>
          <w:sz w:val="24"/>
          <w:szCs w:val="24"/>
          <w:lang w:val="en-US"/>
        </w:rPr>
        <w:t xml:space="preserve">, </w:t>
      </w:r>
      <w:r w:rsidR="00BF2653">
        <w:rPr>
          <w:sz w:val="24"/>
          <w:szCs w:val="24"/>
        </w:rPr>
        <w:t>Δικαιοδοσία</w:t>
      </w:r>
      <w:r w:rsidR="00BF2653" w:rsidRPr="00BF2653">
        <w:rPr>
          <w:sz w:val="24"/>
          <w:szCs w:val="24"/>
          <w:lang w:val="en-US"/>
        </w:rPr>
        <w:t xml:space="preserve"> </w:t>
      </w:r>
      <w:r w:rsidR="00BF2653">
        <w:rPr>
          <w:sz w:val="24"/>
          <w:szCs w:val="24"/>
        </w:rPr>
        <w:t>και</w:t>
      </w:r>
      <w:r w:rsidR="00BF2653" w:rsidRPr="00BF2653">
        <w:rPr>
          <w:sz w:val="24"/>
          <w:szCs w:val="24"/>
          <w:lang w:val="en-US"/>
        </w:rPr>
        <w:t xml:space="preserve"> </w:t>
      </w:r>
      <w:r w:rsidR="00BF2653">
        <w:rPr>
          <w:sz w:val="24"/>
          <w:szCs w:val="24"/>
        </w:rPr>
        <w:t>εκτέλεση</w:t>
      </w:r>
      <w:r w:rsidR="00BF2653" w:rsidRPr="00BF2653">
        <w:rPr>
          <w:sz w:val="24"/>
          <w:szCs w:val="24"/>
          <w:lang w:val="en-US"/>
        </w:rPr>
        <w:t xml:space="preserve"> </w:t>
      </w:r>
      <w:r w:rsidR="00BF2653">
        <w:rPr>
          <w:sz w:val="24"/>
          <w:szCs w:val="24"/>
        </w:rPr>
        <w:t>επί</w:t>
      </w:r>
      <w:r w:rsidR="00BF2653" w:rsidRPr="00BF2653">
        <w:rPr>
          <w:sz w:val="24"/>
          <w:szCs w:val="24"/>
          <w:lang w:val="en-US"/>
        </w:rPr>
        <w:t xml:space="preserve"> </w:t>
      </w:r>
      <w:r w:rsidR="00BF2653">
        <w:rPr>
          <w:sz w:val="24"/>
          <w:szCs w:val="24"/>
        </w:rPr>
        <w:t>διασυνοριακών</w:t>
      </w:r>
      <w:r w:rsidR="00BF2653" w:rsidRPr="00BF2653">
        <w:rPr>
          <w:sz w:val="24"/>
          <w:szCs w:val="24"/>
          <w:lang w:val="en-US"/>
        </w:rPr>
        <w:t xml:space="preserve"> </w:t>
      </w:r>
      <w:r w:rsidR="00BF2653">
        <w:rPr>
          <w:sz w:val="24"/>
          <w:szCs w:val="24"/>
        </w:rPr>
        <w:t>ευρωπαϊκών</w:t>
      </w:r>
      <w:r w:rsidR="00BF2653" w:rsidRPr="00BF2653">
        <w:rPr>
          <w:sz w:val="24"/>
          <w:szCs w:val="24"/>
          <w:lang w:val="en-US"/>
        </w:rPr>
        <w:t xml:space="preserve"> </w:t>
      </w:r>
      <w:r w:rsidR="00BF2653">
        <w:rPr>
          <w:sz w:val="24"/>
          <w:szCs w:val="24"/>
        </w:rPr>
        <w:t>οικογενειακών</w:t>
      </w:r>
      <w:r w:rsidR="00BF2653" w:rsidRPr="00BF2653">
        <w:rPr>
          <w:sz w:val="24"/>
          <w:szCs w:val="24"/>
          <w:lang w:val="en-US"/>
        </w:rPr>
        <w:t xml:space="preserve"> </w:t>
      </w:r>
      <w:r w:rsidR="00BF2653">
        <w:rPr>
          <w:sz w:val="24"/>
          <w:szCs w:val="24"/>
        </w:rPr>
        <w:t>διαφορών</w:t>
      </w:r>
      <w:r w:rsidR="00BF2653" w:rsidRPr="00BF2653">
        <w:rPr>
          <w:sz w:val="24"/>
          <w:szCs w:val="24"/>
          <w:lang w:val="en-US"/>
        </w:rPr>
        <w:t xml:space="preserve">, 2023, </w:t>
      </w:r>
      <w:r w:rsidR="00BF2653">
        <w:rPr>
          <w:sz w:val="24"/>
          <w:szCs w:val="24"/>
        </w:rPr>
        <w:t>εκδόσεις</w:t>
      </w:r>
      <w:r w:rsidR="00BF2653" w:rsidRPr="00BF2653">
        <w:rPr>
          <w:sz w:val="24"/>
          <w:szCs w:val="24"/>
          <w:lang w:val="en-US"/>
        </w:rPr>
        <w:t xml:space="preserve"> </w:t>
      </w:r>
      <w:r w:rsidR="00BF2653">
        <w:rPr>
          <w:sz w:val="24"/>
          <w:szCs w:val="24"/>
        </w:rPr>
        <w:t>Σάκκουλα</w:t>
      </w:r>
      <w:r w:rsidR="00E70860">
        <w:rPr>
          <w:sz w:val="24"/>
          <w:szCs w:val="24"/>
          <w:lang w:val="en-US"/>
        </w:rPr>
        <w:t xml:space="preserve">. </w:t>
      </w:r>
      <w:r w:rsidR="00C41A1D">
        <w:rPr>
          <w:sz w:val="24"/>
          <w:szCs w:val="24"/>
          <w:lang w:val="en-US"/>
        </w:rPr>
        <w:t xml:space="preserve"> </w:t>
      </w:r>
    </w:p>
    <w:p w14:paraId="2665FE76" w14:textId="77777777" w:rsidR="00C41A1D" w:rsidRPr="00C41A1D" w:rsidRDefault="00C41A1D" w:rsidP="00C41A1D">
      <w:pPr>
        <w:pStyle w:val="a3"/>
        <w:ind w:left="1080"/>
        <w:jc w:val="both"/>
        <w:rPr>
          <w:sz w:val="24"/>
          <w:szCs w:val="24"/>
          <w:lang w:val="en-US"/>
        </w:rPr>
      </w:pPr>
    </w:p>
    <w:p w14:paraId="31DFC711" w14:textId="77777777" w:rsidR="00511556" w:rsidRPr="00511556" w:rsidRDefault="00511556" w:rsidP="00511556">
      <w:pPr>
        <w:pStyle w:val="a3"/>
        <w:numPr>
          <w:ilvl w:val="0"/>
          <w:numId w:val="1"/>
        </w:numPr>
        <w:jc w:val="both"/>
        <w:rPr>
          <w:b/>
          <w:sz w:val="24"/>
          <w:szCs w:val="24"/>
          <w:lang w:val="en-US"/>
        </w:rPr>
      </w:pPr>
      <w:r>
        <w:rPr>
          <w:b/>
          <w:sz w:val="24"/>
          <w:szCs w:val="24"/>
          <w:lang w:val="en-US"/>
        </w:rPr>
        <w:t>Topics:</w:t>
      </w:r>
      <w:r>
        <w:rPr>
          <w:sz w:val="24"/>
          <w:szCs w:val="24"/>
          <w:lang w:val="en-US"/>
        </w:rPr>
        <w:t xml:space="preserve"> </w:t>
      </w:r>
    </w:p>
    <w:p w14:paraId="70E4949D" w14:textId="77777777" w:rsidR="00E10055" w:rsidRPr="006F5B76" w:rsidRDefault="00E10055" w:rsidP="006F5B76">
      <w:pPr>
        <w:pStyle w:val="a3"/>
        <w:numPr>
          <w:ilvl w:val="0"/>
          <w:numId w:val="2"/>
        </w:numPr>
        <w:jc w:val="both"/>
        <w:rPr>
          <w:b/>
          <w:sz w:val="24"/>
          <w:szCs w:val="24"/>
          <w:lang w:val="en-US"/>
        </w:rPr>
      </w:pPr>
      <w:r>
        <w:rPr>
          <w:b/>
          <w:sz w:val="24"/>
          <w:szCs w:val="24"/>
          <w:lang w:val="en-US"/>
        </w:rPr>
        <w:t>Jurisdiction, recognition and enforcement</w:t>
      </w:r>
      <w:r w:rsidR="00565E2E">
        <w:rPr>
          <w:b/>
          <w:sz w:val="24"/>
          <w:szCs w:val="24"/>
          <w:lang w:val="en-US"/>
        </w:rPr>
        <w:t xml:space="preserve"> of decisions in divorces </w:t>
      </w:r>
      <w:r>
        <w:rPr>
          <w:b/>
          <w:sz w:val="24"/>
          <w:szCs w:val="24"/>
          <w:lang w:val="en-US"/>
        </w:rPr>
        <w:t>in the EU, mat</w:t>
      </w:r>
      <w:r w:rsidR="00565E2E">
        <w:rPr>
          <w:b/>
          <w:sz w:val="24"/>
          <w:szCs w:val="24"/>
          <w:lang w:val="en-US"/>
        </w:rPr>
        <w:t>ters of parental responsibility</w:t>
      </w:r>
      <w:r>
        <w:rPr>
          <w:b/>
          <w:sz w:val="24"/>
          <w:szCs w:val="24"/>
          <w:lang w:val="en-US"/>
        </w:rPr>
        <w:t xml:space="preserve"> and matters relating to maintenance obligations.</w:t>
      </w:r>
    </w:p>
    <w:p w14:paraId="0C264925" w14:textId="77777777" w:rsidR="00DE773D" w:rsidRDefault="00425216" w:rsidP="00E10055">
      <w:pPr>
        <w:pStyle w:val="a3"/>
        <w:ind w:left="1440"/>
        <w:jc w:val="both"/>
        <w:rPr>
          <w:sz w:val="24"/>
          <w:szCs w:val="24"/>
          <w:lang w:val="en-US"/>
        </w:rPr>
      </w:pPr>
      <w:r>
        <w:rPr>
          <w:sz w:val="24"/>
          <w:szCs w:val="24"/>
          <w:lang w:val="en-US"/>
        </w:rPr>
        <w:t>Pointers: Regulation 2</w:t>
      </w:r>
      <w:r w:rsidRPr="00425216">
        <w:rPr>
          <w:sz w:val="24"/>
          <w:szCs w:val="24"/>
          <w:lang w:val="en-US"/>
        </w:rPr>
        <w:t>019</w:t>
      </w:r>
      <w:r>
        <w:rPr>
          <w:sz w:val="24"/>
          <w:szCs w:val="24"/>
          <w:lang w:val="en-US"/>
        </w:rPr>
        <w:t>/</w:t>
      </w:r>
      <w:r w:rsidRPr="00425216">
        <w:rPr>
          <w:sz w:val="24"/>
          <w:szCs w:val="24"/>
          <w:lang w:val="en-US"/>
        </w:rPr>
        <w:t>1111</w:t>
      </w:r>
      <w:r w:rsidR="00E10055">
        <w:rPr>
          <w:sz w:val="24"/>
          <w:szCs w:val="24"/>
          <w:lang w:val="en-US"/>
        </w:rPr>
        <w:t xml:space="preserve">, </w:t>
      </w:r>
      <w:r w:rsidR="00995AD0">
        <w:rPr>
          <w:sz w:val="24"/>
          <w:szCs w:val="24"/>
          <w:lang w:val="en-US"/>
        </w:rPr>
        <w:t xml:space="preserve">Maintenance </w:t>
      </w:r>
      <w:r w:rsidR="00E10055">
        <w:rPr>
          <w:sz w:val="24"/>
          <w:szCs w:val="24"/>
          <w:lang w:val="en-US"/>
        </w:rPr>
        <w:t>Regulation 4/2009</w:t>
      </w:r>
      <w:r w:rsidR="00410D67">
        <w:rPr>
          <w:sz w:val="24"/>
          <w:szCs w:val="24"/>
          <w:lang w:val="en-US"/>
        </w:rPr>
        <w:t>,</w:t>
      </w:r>
      <w:r w:rsidR="005F35A6">
        <w:rPr>
          <w:sz w:val="24"/>
          <w:szCs w:val="24"/>
          <w:lang w:val="en-US"/>
        </w:rPr>
        <w:t xml:space="preserve"> (‘forum </w:t>
      </w:r>
      <w:r>
        <w:rPr>
          <w:sz w:val="24"/>
          <w:szCs w:val="24"/>
          <w:lang w:val="en-US"/>
        </w:rPr>
        <w:t>actoris’, ‘forum necessitatis’)</w:t>
      </w:r>
      <w:r w:rsidR="00E96CBE">
        <w:rPr>
          <w:sz w:val="24"/>
          <w:szCs w:val="24"/>
          <w:lang w:val="en-US"/>
        </w:rPr>
        <w:t xml:space="preserve">, </w:t>
      </w:r>
      <w:r w:rsidR="00410D67">
        <w:rPr>
          <w:sz w:val="24"/>
          <w:szCs w:val="24"/>
          <w:lang w:val="en-US"/>
        </w:rPr>
        <w:t>Hague Convention</w:t>
      </w:r>
      <w:r w:rsidRPr="00425216">
        <w:rPr>
          <w:sz w:val="24"/>
          <w:szCs w:val="24"/>
          <w:lang w:val="en-US"/>
        </w:rPr>
        <w:t xml:space="preserve">, </w:t>
      </w:r>
      <w:r>
        <w:rPr>
          <w:sz w:val="24"/>
          <w:szCs w:val="24"/>
          <w:lang w:val="en-US"/>
        </w:rPr>
        <w:t>Regulations 2016/1103 and 2016/1104</w:t>
      </w:r>
      <w:r w:rsidR="00E10055">
        <w:rPr>
          <w:sz w:val="24"/>
          <w:szCs w:val="24"/>
          <w:lang w:val="en-US"/>
        </w:rPr>
        <w:t xml:space="preserve">. </w:t>
      </w:r>
    </w:p>
    <w:p w14:paraId="33D0B887" w14:textId="77777777" w:rsidR="009E3130" w:rsidRDefault="009E3130" w:rsidP="00E10055">
      <w:pPr>
        <w:pStyle w:val="a3"/>
        <w:ind w:left="1440"/>
        <w:jc w:val="both"/>
        <w:rPr>
          <w:sz w:val="24"/>
          <w:szCs w:val="24"/>
          <w:lang w:val="en-US"/>
        </w:rPr>
      </w:pPr>
    </w:p>
    <w:p w14:paraId="6943F3B3" w14:textId="77777777" w:rsidR="00DE773D" w:rsidRDefault="00E10055" w:rsidP="00E10055">
      <w:pPr>
        <w:pStyle w:val="a3"/>
        <w:ind w:left="1440"/>
        <w:jc w:val="both"/>
        <w:rPr>
          <w:sz w:val="24"/>
          <w:szCs w:val="24"/>
          <w:lang w:val="en-US"/>
        </w:rPr>
      </w:pPr>
      <w:r>
        <w:rPr>
          <w:sz w:val="24"/>
          <w:szCs w:val="24"/>
          <w:lang w:val="en-US"/>
        </w:rPr>
        <w:t xml:space="preserve">Cases: July 16, 2015, C-184/14, A v B, </w:t>
      </w:r>
    </w:p>
    <w:p w14:paraId="6EE90001" w14:textId="77777777" w:rsidR="00511556" w:rsidRDefault="00E10055" w:rsidP="00E10055">
      <w:pPr>
        <w:pStyle w:val="a3"/>
        <w:ind w:left="1440"/>
        <w:jc w:val="both"/>
        <w:rPr>
          <w:sz w:val="24"/>
          <w:szCs w:val="24"/>
          <w:lang w:val="en-US"/>
        </w:rPr>
      </w:pPr>
      <w:r>
        <w:rPr>
          <w:sz w:val="24"/>
          <w:szCs w:val="24"/>
          <w:lang w:val="en-US"/>
        </w:rPr>
        <w:t>September 5, 2019, C-468/18, R v P.</w:t>
      </w:r>
    </w:p>
    <w:p w14:paraId="7BB2085E" w14:textId="77777777" w:rsidR="006F5B76" w:rsidRDefault="006F5B76" w:rsidP="00E10055">
      <w:pPr>
        <w:pStyle w:val="a3"/>
        <w:ind w:left="1440"/>
        <w:jc w:val="both"/>
        <w:rPr>
          <w:b/>
          <w:sz w:val="24"/>
          <w:szCs w:val="24"/>
          <w:lang w:val="en-US"/>
        </w:rPr>
      </w:pPr>
    </w:p>
    <w:p w14:paraId="77F7EE76" w14:textId="77777777" w:rsidR="00E10055" w:rsidRDefault="004E7511" w:rsidP="00511556">
      <w:pPr>
        <w:pStyle w:val="a3"/>
        <w:numPr>
          <w:ilvl w:val="0"/>
          <w:numId w:val="2"/>
        </w:numPr>
        <w:jc w:val="both"/>
        <w:rPr>
          <w:b/>
          <w:sz w:val="24"/>
          <w:szCs w:val="24"/>
          <w:lang w:val="en-US"/>
        </w:rPr>
      </w:pPr>
      <w:r>
        <w:rPr>
          <w:b/>
          <w:sz w:val="24"/>
          <w:szCs w:val="24"/>
          <w:lang w:val="en-US"/>
        </w:rPr>
        <w:t>P</w:t>
      </w:r>
      <w:r w:rsidR="006F5B76">
        <w:rPr>
          <w:b/>
          <w:sz w:val="24"/>
          <w:szCs w:val="24"/>
          <w:lang w:val="en-US"/>
        </w:rPr>
        <w:t>rivate arbitration</w:t>
      </w:r>
      <w:r>
        <w:rPr>
          <w:b/>
          <w:sz w:val="24"/>
          <w:szCs w:val="24"/>
          <w:lang w:val="en-US"/>
        </w:rPr>
        <w:t xml:space="preserve"> and EU law</w:t>
      </w:r>
      <w:r w:rsidR="006F5B76">
        <w:rPr>
          <w:b/>
          <w:sz w:val="24"/>
          <w:szCs w:val="24"/>
          <w:lang w:val="en-US"/>
        </w:rPr>
        <w:t>.</w:t>
      </w:r>
    </w:p>
    <w:p w14:paraId="7D842FDB" w14:textId="77777777" w:rsidR="00E70860" w:rsidRDefault="006F5B76" w:rsidP="00E70860">
      <w:pPr>
        <w:pStyle w:val="a3"/>
        <w:ind w:left="1440"/>
        <w:jc w:val="both"/>
        <w:rPr>
          <w:sz w:val="24"/>
          <w:szCs w:val="24"/>
          <w:lang w:val="en-US"/>
        </w:rPr>
      </w:pPr>
      <w:r>
        <w:rPr>
          <w:sz w:val="24"/>
          <w:szCs w:val="24"/>
          <w:lang w:val="en-US"/>
        </w:rPr>
        <w:t xml:space="preserve">Pointers: </w:t>
      </w:r>
      <w:r w:rsidR="00406120">
        <w:rPr>
          <w:sz w:val="24"/>
          <w:szCs w:val="24"/>
          <w:lang w:val="en-US"/>
        </w:rPr>
        <w:t>Recital 12 of Regulation 1215/2012, article</w:t>
      </w:r>
      <w:r w:rsidR="00625D28">
        <w:rPr>
          <w:sz w:val="24"/>
          <w:szCs w:val="24"/>
          <w:lang w:val="en-US"/>
        </w:rPr>
        <w:t>s</w:t>
      </w:r>
      <w:r w:rsidR="00406120">
        <w:rPr>
          <w:sz w:val="24"/>
          <w:szCs w:val="24"/>
          <w:lang w:val="en-US"/>
        </w:rPr>
        <w:t xml:space="preserve"> 1(2)(d)</w:t>
      </w:r>
      <w:r w:rsidR="00625D28">
        <w:rPr>
          <w:sz w:val="24"/>
          <w:szCs w:val="24"/>
          <w:lang w:val="en-US"/>
        </w:rPr>
        <w:t xml:space="preserve"> and 72 of R</w:t>
      </w:r>
      <w:r w:rsidR="00406120">
        <w:rPr>
          <w:sz w:val="24"/>
          <w:szCs w:val="24"/>
          <w:lang w:val="en-US"/>
        </w:rPr>
        <w:t xml:space="preserve">egulation 1215/2012, </w:t>
      </w:r>
      <w:r w:rsidR="00E70860">
        <w:rPr>
          <w:sz w:val="24"/>
          <w:szCs w:val="24"/>
          <w:lang w:val="en-US"/>
        </w:rPr>
        <w:t xml:space="preserve">New York Convention 1958, LCIA Arbitration Rules, ICC Rules. </w:t>
      </w:r>
    </w:p>
    <w:p w14:paraId="532CE2A9" w14:textId="44F98893" w:rsidR="000244A2" w:rsidRPr="00AF5582" w:rsidRDefault="00EF4CF2" w:rsidP="00E70860">
      <w:pPr>
        <w:pStyle w:val="a3"/>
        <w:ind w:left="1440"/>
        <w:jc w:val="both"/>
        <w:rPr>
          <w:sz w:val="24"/>
          <w:szCs w:val="24"/>
          <w:lang w:val="en-US"/>
        </w:rPr>
      </w:pPr>
      <w:r>
        <w:rPr>
          <w:sz w:val="24"/>
          <w:szCs w:val="24"/>
          <w:lang w:val="en-US"/>
        </w:rPr>
        <w:t xml:space="preserve">Primacy of New York Convention of 1958. </w:t>
      </w:r>
      <w:r w:rsidR="000244A2">
        <w:rPr>
          <w:sz w:val="24"/>
          <w:szCs w:val="24"/>
          <w:lang w:val="en-US"/>
        </w:rPr>
        <w:t>EU law does not apply to arbitration. Still, can it affect arbitration?</w:t>
      </w:r>
      <w:r w:rsidR="00AF5582" w:rsidRPr="00AF5582">
        <w:rPr>
          <w:sz w:val="24"/>
          <w:szCs w:val="24"/>
          <w:lang w:val="en-US"/>
        </w:rPr>
        <w:t xml:space="preserve"> </w:t>
      </w:r>
      <w:r w:rsidR="00AF5582">
        <w:rPr>
          <w:sz w:val="24"/>
          <w:szCs w:val="24"/>
          <w:lang w:val="en-US"/>
        </w:rPr>
        <w:t>Who decides jurisdiction</w:t>
      </w:r>
      <w:r w:rsidR="000D2865">
        <w:rPr>
          <w:sz w:val="24"/>
          <w:szCs w:val="24"/>
          <w:lang w:val="en-US"/>
        </w:rPr>
        <w:t xml:space="preserve"> in case there is an arbitration agreement</w:t>
      </w:r>
      <w:r w:rsidR="00AF5582">
        <w:rPr>
          <w:sz w:val="24"/>
          <w:szCs w:val="24"/>
          <w:lang w:val="en-US"/>
        </w:rPr>
        <w:t>?</w:t>
      </w:r>
    </w:p>
    <w:p w14:paraId="7C006234" w14:textId="77777777" w:rsidR="00406120" w:rsidRPr="00E70860" w:rsidRDefault="006F5B76" w:rsidP="00E70860">
      <w:pPr>
        <w:pStyle w:val="a3"/>
        <w:ind w:left="1440"/>
        <w:jc w:val="both"/>
        <w:rPr>
          <w:sz w:val="24"/>
          <w:szCs w:val="24"/>
          <w:lang w:val="en-US"/>
        </w:rPr>
      </w:pPr>
      <w:r w:rsidRPr="00E70860">
        <w:rPr>
          <w:sz w:val="24"/>
          <w:szCs w:val="24"/>
          <w:lang w:val="en-US"/>
        </w:rPr>
        <w:t xml:space="preserve">Arbitrability, anti-suit injunctions, </w:t>
      </w:r>
      <w:r w:rsidR="00C61353">
        <w:rPr>
          <w:sz w:val="24"/>
          <w:szCs w:val="24"/>
          <w:lang w:val="en-US"/>
        </w:rPr>
        <w:t xml:space="preserve">review of the validity of an arbitration agreement by an EU Member State court, </w:t>
      </w:r>
      <w:r w:rsidRPr="00E70860">
        <w:rPr>
          <w:sz w:val="24"/>
          <w:szCs w:val="24"/>
          <w:lang w:val="en-US"/>
        </w:rPr>
        <w:t>international public policy</w:t>
      </w:r>
      <w:r w:rsidR="00AF5582">
        <w:rPr>
          <w:sz w:val="24"/>
          <w:szCs w:val="24"/>
          <w:lang w:val="en-US"/>
        </w:rPr>
        <w:t xml:space="preserve"> (for EU competition law, but no revision au fond, extremely limited in scope review of arbitration awards, not for errors in the application of EU law alone)</w:t>
      </w:r>
      <w:r w:rsidRPr="00E70860">
        <w:rPr>
          <w:sz w:val="24"/>
          <w:szCs w:val="24"/>
          <w:lang w:val="en-US"/>
        </w:rPr>
        <w:t xml:space="preserve">, provisional measures, concurrent </w:t>
      </w:r>
      <w:r w:rsidRPr="00E70860">
        <w:rPr>
          <w:sz w:val="24"/>
          <w:szCs w:val="24"/>
          <w:lang w:val="en-US"/>
        </w:rPr>
        <w:lastRenderedPageBreak/>
        <w:t xml:space="preserve">proceedings, </w:t>
      </w:r>
      <w:r w:rsidR="004402B8">
        <w:rPr>
          <w:sz w:val="24"/>
          <w:szCs w:val="24"/>
          <w:lang w:val="en-US"/>
        </w:rPr>
        <w:t>entering appearance and raising the ‘exceptio</w:t>
      </w:r>
      <w:r w:rsidR="00406120" w:rsidRPr="00E70860">
        <w:rPr>
          <w:sz w:val="24"/>
          <w:szCs w:val="24"/>
          <w:lang w:val="en-US"/>
        </w:rPr>
        <w:t xml:space="preserve"> arbitri</w:t>
      </w:r>
      <w:r w:rsidR="004402B8">
        <w:rPr>
          <w:sz w:val="24"/>
          <w:szCs w:val="24"/>
          <w:lang w:val="en-US"/>
        </w:rPr>
        <w:t>’</w:t>
      </w:r>
      <w:r w:rsidR="00406120" w:rsidRPr="00E70860">
        <w:rPr>
          <w:sz w:val="24"/>
          <w:szCs w:val="24"/>
          <w:lang w:val="en-US"/>
        </w:rPr>
        <w:t>, court proceedings ancillary to arbitration</w:t>
      </w:r>
      <w:r w:rsidR="00742F92">
        <w:rPr>
          <w:sz w:val="24"/>
          <w:szCs w:val="24"/>
          <w:lang w:val="en-US"/>
        </w:rPr>
        <w:t xml:space="preserve"> including interim orders</w:t>
      </w:r>
      <w:r w:rsidR="00406120" w:rsidRPr="00E70860">
        <w:rPr>
          <w:sz w:val="24"/>
          <w:szCs w:val="24"/>
          <w:lang w:val="en-US"/>
        </w:rPr>
        <w:t xml:space="preserve">, </w:t>
      </w:r>
      <w:r w:rsidR="00C61353">
        <w:rPr>
          <w:sz w:val="24"/>
          <w:szCs w:val="24"/>
          <w:lang w:val="en-US"/>
        </w:rPr>
        <w:t xml:space="preserve">conflict between an arbitration clause and a choice-of-court provision, </w:t>
      </w:r>
      <w:r w:rsidR="00406120" w:rsidRPr="00E70860">
        <w:rPr>
          <w:sz w:val="24"/>
          <w:szCs w:val="24"/>
          <w:lang w:val="en-US"/>
        </w:rPr>
        <w:t xml:space="preserve">recognition of judgments. </w:t>
      </w:r>
    </w:p>
    <w:p w14:paraId="35C46BEA" w14:textId="77777777" w:rsidR="009E3130" w:rsidRDefault="009E3130" w:rsidP="006F5B76">
      <w:pPr>
        <w:pStyle w:val="a3"/>
        <w:ind w:left="1440"/>
        <w:jc w:val="both"/>
        <w:rPr>
          <w:sz w:val="24"/>
          <w:szCs w:val="24"/>
          <w:lang w:val="en-US"/>
        </w:rPr>
      </w:pPr>
    </w:p>
    <w:p w14:paraId="4B6CAFC5" w14:textId="07E0A28E" w:rsidR="006F5B76" w:rsidRDefault="00406120" w:rsidP="006F5B76">
      <w:pPr>
        <w:pStyle w:val="a3"/>
        <w:ind w:left="1440"/>
        <w:jc w:val="both"/>
        <w:rPr>
          <w:sz w:val="24"/>
          <w:szCs w:val="24"/>
          <w:lang w:val="en-US"/>
        </w:rPr>
      </w:pPr>
      <w:r>
        <w:rPr>
          <w:sz w:val="24"/>
          <w:szCs w:val="24"/>
          <w:lang w:val="en-US"/>
        </w:rPr>
        <w:t xml:space="preserve">Cases:  </w:t>
      </w:r>
      <w:r w:rsidR="00175A75">
        <w:rPr>
          <w:sz w:val="24"/>
          <w:szCs w:val="24"/>
          <w:lang w:val="en-US"/>
        </w:rPr>
        <w:t xml:space="preserve">Marc Rich, C-190/89, </w:t>
      </w:r>
      <w:r w:rsidR="009948DA">
        <w:rPr>
          <w:sz w:val="24"/>
          <w:szCs w:val="24"/>
          <w:lang w:val="en-US"/>
        </w:rPr>
        <w:t xml:space="preserve">Allianz v. West Tanksers, C-185/07, November 17, 1998, Van Uden, C-391/95, </w:t>
      </w:r>
      <w:r w:rsidR="004402B8">
        <w:rPr>
          <w:sz w:val="24"/>
          <w:szCs w:val="24"/>
          <w:lang w:val="en-US"/>
        </w:rPr>
        <w:t>Eco Swiss, C-126/97,  CDC C-352/13, Achmea, C-284/16, Asturcom, C-40/08, Renault, C-38/98, Apostolides, C-420/07, Diageo Brands, C-681/13 (errors in the application of EU rules that are not part of public policy cannot be reviewed by the courts of the Member States and do not amount to a ground for refusing recognition</w:t>
      </w:r>
      <w:r w:rsidR="00D30DFC">
        <w:rPr>
          <w:sz w:val="24"/>
          <w:szCs w:val="24"/>
          <w:lang w:val="en-US"/>
        </w:rPr>
        <w:t xml:space="preserve"> – Penades Fons</w:t>
      </w:r>
      <w:r w:rsidR="004402B8">
        <w:rPr>
          <w:sz w:val="24"/>
          <w:szCs w:val="24"/>
          <w:lang w:val="en-US"/>
        </w:rPr>
        <w:t>)</w:t>
      </w:r>
      <w:r w:rsidR="006A736C">
        <w:rPr>
          <w:sz w:val="24"/>
          <w:szCs w:val="24"/>
          <w:lang w:val="en-US"/>
        </w:rPr>
        <w:t xml:space="preserve">, London Steam Ship Owners/Kingdom of Spain, C-700/20, 206/2022 </w:t>
      </w:r>
      <w:r w:rsidR="006A736C">
        <w:rPr>
          <w:sz w:val="24"/>
          <w:szCs w:val="24"/>
        </w:rPr>
        <w:t>ΧρΔΔ</w:t>
      </w:r>
      <w:r w:rsidR="006A736C" w:rsidRPr="006A736C">
        <w:rPr>
          <w:sz w:val="24"/>
          <w:szCs w:val="24"/>
          <w:lang w:val="en-US"/>
        </w:rPr>
        <w:t xml:space="preserve"> 2023. </w:t>
      </w:r>
      <w:r w:rsidR="006A736C">
        <w:rPr>
          <w:sz w:val="24"/>
          <w:szCs w:val="24"/>
        </w:rPr>
        <w:t>219 επ</w:t>
      </w:r>
      <w:r w:rsidR="004402B8">
        <w:rPr>
          <w:sz w:val="24"/>
          <w:szCs w:val="24"/>
          <w:lang w:val="en-US"/>
        </w:rPr>
        <w:t>.</w:t>
      </w:r>
    </w:p>
    <w:p w14:paraId="23A00883" w14:textId="77777777" w:rsidR="00C61353" w:rsidRDefault="00C61353" w:rsidP="006F5B76">
      <w:pPr>
        <w:pStyle w:val="a3"/>
        <w:ind w:left="1440"/>
        <w:jc w:val="both"/>
        <w:rPr>
          <w:sz w:val="24"/>
          <w:szCs w:val="24"/>
          <w:lang w:val="en-US"/>
        </w:rPr>
      </w:pPr>
      <w:r>
        <w:rPr>
          <w:sz w:val="24"/>
          <w:szCs w:val="24"/>
          <w:lang w:val="en-US"/>
        </w:rPr>
        <w:t>English High Court, Riverrock, September 23, 2020.</w:t>
      </w:r>
    </w:p>
    <w:p w14:paraId="4D734B4D" w14:textId="77777777" w:rsidR="002C62B7" w:rsidRPr="006F5B76" w:rsidRDefault="002C62B7" w:rsidP="006F5B76">
      <w:pPr>
        <w:pStyle w:val="a3"/>
        <w:ind w:left="1440"/>
        <w:jc w:val="both"/>
        <w:rPr>
          <w:sz w:val="24"/>
          <w:szCs w:val="24"/>
          <w:lang w:val="en-US"/>
        </w:rPr>
      </w:pPr>
    </w:p>
    <w:p w14:paraId="5B1CAE46" w14:textId="77777777" w:rsidR="006F5B76" w:rsidRDefault="002C62B7" w:rsidP="00511556">
      <w:pPr>
        <w:pStyle w:val="a3"/>
        <w:numPr>
          <w:ilvl w:val="0"/>
          <w:numId w:val="2"/>
        </w:numPr>
        <w:jc w:val="both"/>
        <w:rPr>
          <w:b/>
          <w:sz w:val="24"/>
          <w:szCs w:val="24"/>
          <w:lang w:val="en-US"/>
        </w:rPr>
      </w:pPr>
      <w:r>
        <w:rPr>
          <w:b/>
          <w:sz w:val="24"/>
          <w:szCs w:val="24"/>
          <w:lang w:val="en-US"/>
        </w:rPr>
        <w:t>Choice-of-court agreements in commercial matters</w:t>
      </w:r>
      <w:r w:rsidR="006161C8">
        <w:rPr>
          <w:b/>
          <w:sz w:val="24"/>
          <w:szCs w:val="24"/>
          <w:lang w:val="en-US"/>
        </w:rPr>
        <w:t xml:space="preserve"> (Regulation 1215/2012)</w:t>
      </w:r>
      <w:r>
        <w:rPr>
          <w:b/>
          <w:sz w:val="24"/>
          <w:szCs w:val="24"/>
          <w:lang w:val="en-US"/>
        </w:rPr>
        <w:t>.</w:t>
      </w:r>
    </w:p>
    <w:p w14:paraId="7656A372" w14:textId="77777777" w:rsidR="002C62B7" w:rsidRDefault="002C62B7" w:rsidP="002C62B7">
      <w:pPr>
        <w:pStyle w:val="a3"/>
        <w:ind w:left="1440"/>
        <w:jc w:val="both"/>
        <w:rPr>
          <w:sz w:val="24"/>
          <w:szCs w:val="24"/>
          <w:lang w:val="en-US"/>
        </w:rPr>
      </w:pPr>
      <w:r>
        <w:rPr>
          <w:sz w:val="24"/>
          <w:szCs w:val="24"/>
          <w:lang w:val="en-US"/>
        </w:rPr>
        <w:t xml:space="preserve">Pointers: </w:t>
      </w:r>
      <w:r w:rsidR="00873C28" w:rsidRPr="00873C28">
        <w:rPr>
          <w:sz w:val="24"/>
          <w:szCs w:val="24"/>
          <w:lang w:val="en-US"/>
        </w:rPr>
        <w:t>Articles 25, 26, 31 par. 2, 3 and 4, Recital</w:t>
      </w:r>
      <w:r w:rsidR="00A01D47">
        <w:rPr>
          <w:sz w:val="24"/>
          <w:szCs w:val="24"/>
          <w:lang w:val="en-US"/>
        </w:rPr>
        <w:t>s 19 and</w:t>
      </w:r>
      <w:r w:rsidR="00873C28" w:rsidRPr="00873C28">
        <w:rPr>
          <w:sz w:val="24"/>
          <w:szCs w:val="24"/>
          <w:lang w:val="en-US"/>
        </w:rPr>
        <w:t xml:space="preserve"> 20 of Regulation 1215/2012</w:t>
      </w:r>
    </w:p>
    <w:p w14:paraId="74C93B74" w14:textId="7F7A02BB" w:rsidR="00D30DFC" w:rsidRDefault="001B6C68" w:rsidP="002C62B7">
      <w:pPr>
        <w:pStyle w:val="a3"/>
        <w:ind w:left="1440"/>
        <w:jc w:val="both"/>
        <w:rPr>
          <w:sz w:val="24"/>
          <w:szCs w:val="24"/>
          <w:lang w:val="en-US"/>
        </w:rPr>
      </w:pPr>
      <w:r>
        <w:rPr>
          <w:sz w:val="24"/>
          <w:szCs w:val="24"/>
          <w:lang w:val="en-US"/>
        </w:rPr>
        <w:t>‘</w:t>
      </w:r>
      <w:r w:rsidR="00D30DFC">
        <w:rPr>
          <w:sz w:val="24"/>
          <w:szCs w:val="24"/>
          <w:lang w:val="en-US"/>
        </w:rPr>
        <w:t>Italian torpedoes</w:t>
      </w:r>
      <w:r>
        <w:rPr>
          <w:sz w:val="24"/>
          <w:szCs w:val="24"/>
          <w:lang w:val="en-US"/>
        </w:rPr>
        <w:t>’</w:t>
      </w:r>
      <w:r w:rsidR="00824A5A">
        <w:rPr>
          <w:sz w:val="24"/>
          <w:szCs w:val="24"/>
          <w:lang w:val="en-US"/>
        </w:rPr>
        <w:t xml:space="preserve"> (see Gasser case, C-116/02)</w:t>
      </w:r>
      <w:r w:rsidR="00D30DFC">
        <w:rPr>
          <w:sz w:val="24"/>
          <w:szCs w:val="24"/>
          <w:lang w:val="en-US"/>
        </w:rPr>
        <w:t>, new lis pendens provision in Regulation 1215/2012</w:t>
      </w:r>
      <w:r w:rsidR="0098113D">
        <w:rPr>
          <w:sz w:val="24"/>
          <w:szCs w:val="24"/>
          <w:lang w:val="en-US"/>
        </w:rPr>
        <w:t xml:space="preserve"> ensuring the effectiveness of choice-of-court agreements</w:t>
      </w:r>
      <w:r w:rsidR="00D30DFC">
        <w:rPr>
          <w:sz w:val="24"/>
          <w:szCs w:val="24"/>
          <w:lang w:val="en-US"/>
        </w:rPr>
        <w:t xml:space="preserve">, </w:t>
      </w:r>
      <w:r w:rsidR="009A7155">
        <w:rPr>
          <w:sz w:val="24"/>
          <w:szCs w:val="24"/>
          <w:lang w:val="en-US"/>
        </w:rPr>
        <w:t xml:space="preserve">reversal: court first seized must now stay its proceedings in favor of the designated court, </w:t>
      </w:r>
      <w:r w:rsidR="0098113D">
        <w:rPr>
          <w:sz w:val="24"/>
          <w:szCs w:val="24"/>
          <w:lang w:val="en-US"/>
        </w:rPr>
        <w:t xml:space="preserve">issue: </w:t>
      </w:r>
      <w:r w:rsidR="00D30DFC">
        <w:rPr>
          <w:sz w:val="24"/>
          <w:szCs w:val="24"/>
          <w:lang w:val="en-US"/>
        </w:rPr>
        <w:t>defendant enters an appearance before the court first seized without contesting its jurisdiction,</w:t>
      </w:r>
      <w:r w:rsidR="0098113D">
        <w:rPr>
          <w:sz w:val="24"/>
          <w:szCs w:val="24"/>
          <w:lang w:val="en-US"/>
        </w:rPr>
        <w:t xml:space="preserve"> concurrent jurisdictions, </w:t>
      </w:r>
      <w:r w:rsidR="00D30DFC">
        <w:rPr>
          <w:sz w:val="24"/>
          <w:szCs w:val="24"/>
          <w:lang w:val="en-US"/>
        </w:rPr>
        <w:t xml:space="preserve">doctrine of separability (see Nielsen as per above), </w:t>
      </w:r>
      <w:r w:rsidR="0098113D">
        <w:rPr>
          <w:sz w:val="24"/>
          <w:szCs w:val="24"/>
          <w:lang w:val="en-US"/>
        </w:rPr>
        <w:t>the designated court decides on the validity of</w:t>
      </w:r>
      <w:r w:rsidR="009A7155">
        <w:rPr>
          <w:sz w:val="24"/>
          <w:szCs w:val="24"/>
          <w:lang w:val="en-US"/>
        </w:rPr>
        <w:t xml:space="preserve"> the choice-of-court agreement</w:t>
      </w:r>
      <w:r w:rsidR="00824A5A">
        <w:rPr>
          <w:sz w:val="24"/>
          <w:szCs w:val="24"/>
          <w:lang w:val="en-US"/>
        </w:rPr>
        <w:t>, asymmetric choice-of-court agreements allowed</w:t>
      </w:r>
      <w:r w:rsidR="009A7155">
        <w:rPr>
          <w:sz w:val="24"/>
          <w:szCs w:val="24"/>
          <w:lang w:val="en-US"/>
        </w:rPr>
        <w:t>, forms of choice-of-co</w:t>
      </w:r>
      <w:r w:rsidR="009E3130">
        <w:rPr>
          <w:sz w:val="24"/>
          <w:szCs w:val="24"/>
          <w:lang w:val="en-US"/>
        </w:rPr>
        <w:t>urt agree</w:t>
      </w:r>
      <w:r w:rsidR="009A7155">
        <w:rPr>
          <w:sz w:val="24"/>
          <w:szCs w:val="24"/>
          <w:lang w:val="en-US"/>
        </w:rPr>
        <w:t>ments</w:t>
      </w:r>
      <w:r w:rsidR="009E3130">
        <w:rPr>
          <w:sz w:val="24"/>
          <w:szCs w:val="24"/>
          <w:lang w:val="en-US"/>
        </w:rPr>
        <w:t>, choice-of-court agreements and third parties, choice-of-court provision in the constitution of a company, carriage of goods by sea, choice-of-court clause</w:t>
      </w:r>
      <w:r w:rsidR="002E3146">
        <w:rPr>
          <w:sz w:val="24"/>
          <w:szCs w:val="24"/>
          <w:lang w:val="en-US"/>
        </w:rPr>
        <w:t>s</w:t>
      </w:r>
      <w:r w:rsidR="009E3130">
        <w:rPr>
          <w:sz w:val="24"/>
          <w:szCs w:val="24"/>
          <w:lang w:val="en-US"/>
        </w:rPr>
        <w:t xml:space="preserve"> in contracts purchasing bonds</w:t>
      </w:r>
      <w:r w:rsidR="00772318">
        <w:rPr>
          <w:sz w:val="24"/>
          <w:szCs w:val="24"/>
          <w:lang w:val="en-US"/>
        </w:rPr>
        <w:t>, interim relief proceedings, are they covered?</w:t>
      </w:r>
      <w:r w:rsidR="0098113D">
        <w:rPr>
          <w:sz w:val="24"/>
          <w:szCs w:val="24"/>
          <w:lang w:val="en-US"/>
        </w:rPr>
        <w:t>.</w:t>
      </w:r>
      <w:r w:rsidR="00A005F1">
        <w:rPr>
          <w:sz w:val="24"/>
          <w:szCs w:val="24"/>
          <w:lang w:val="en-US"/>
        </w:rPr>
        <w:t xml:space="preserve"> </w:t>
      </w:r>
    </w:p>
    <w:p w14:paraId="66FAD8D5" w14:textId="77777777" w:rsidR="009E3130" w:rsidRDefault="009E3130" w:rsidP="002C62B7">
      <w:pPr>
        <w:pStyle w:val="a3"/>
        <w:ind w:left="1440"/>
        <w:jc w:val="both"/>
        <w:rPr>
          <w:sz w:val="24"/>
          <w:szCs w:val="24"/>
          <w:lang w:val="en-US"/>
        </w:rPr>
      </w:pPr>
    </w:p>
    <w:p w14:paraId="405D61C9" w14:textId="77777777" w:rsidR="009E3130" w:rsidRDefault="00873C28" w:rsidP="002C62B7">
      <w:pPr>
        <w:pStyle w:val="a3"/>
        <w:ind w:left="1440"/>
        <w:jc w:val="both"/>
        <w:rPr>
          <w:sz w:val="24"/>
          <w:szCs w:val="24"/>
          <w:lang w:val="en-US"/>
        </w:rPr>
      </w:pPr>
      <w:r>
        <w:rPr>
          <w:sz w:val="24"/>
          <w:szCs w:val="24"/>
          <w:lang w:val="en-US"/>
        </w:rPr>
        <w:t xml:space="preserve">Cases: </w:t>
      </w:r>
      <w:r w:rsidR="001B6C68">
        <w:rPr>
          <w:sz w:val="24"/>
          <w:szCs w:val="24"/>
          <w:lang w:val="en-US"/>
        </w:rPr>
        <w:t xml:space="preserve">March 8, 2018, Saye Home, November 9, 2000, Coreck Maritime, C-387/98, </w:t>
      </w:r>
      <w:r w:rsidR="00CE5973">
        <w:rPr>
          <w:sz w:val="24"/>
          <w:szCs w:val="24"/>
          <w:lang w:val="en-US"/>
        </w:rPr>
        <w:t xml:space="preserve">Tilly Russ, C-71/83, </w:t>
      </w:r>
      <w:r w:rsidR="001B6C68">
        <w:rPr>
          <w:sz w:val="24"/>
          <w:szCs w:val="24"/>
          <w:lang w:val="en-US"/>
        </w:rPr>
        <w:t>April 20, 2016, Profit Investment, C-366/13, February 7, 2013, Refcomp, C-543/10</w:t>
      </w:r>
      <w:r w:rsidR="00773C47">
        <w:rPr>
          <w:sz w:val="24"/>
          <w:szCs w:val="24"/>
          <w:lang w:val="en-US"/>
        </w:rPr>
        <w:t xml:space="preserve"> (exception or rule?)</w:t>
      </w:r>
      <w:r w:rsidR="001B6C68">
        <w:rPr>
          <w:sz w:val="24"/>
          <w:szCs w:val="24"/>
          <w:lang w:val="en-US"/>
        </w:rPr>
        <w:t>,</w:t>
      </w:r>
      <w:r w:rsidR="00773C47">
        <w:rPr>
          <w:sz w:val="24"/>
          <w:szCs w:val="24"/>
          <w:lang w:val="en-US"/>
        </w:rPr>
        <w:t xml:space="preserve"> May 21, 2015, CDC, C-352/13, June 28, 2017, Leventis/Malcon Navigation, C-436/16, February 20, 1997, MSG, </w:t>
      </w:r>
      <w:r w:rsidR="003B5887">
        <w:rPr>
          <w:sz w:val="24"/>
          <w:szCs w:val="24"/>
          <w:lang w:val="en-US"/>
        </w:rPr>
        <w:t>May 21, 2015, El Majdoub, C-322/14, June 24, 1986, Anterist, 22/85, October 24, 2018, Apple Sales, C-595/17</w:t>
      </w:r>
      <w:r w:rsidR="00A005F1">
        <w:rPr>
          <w:sz w:val="24"/>
          <w:szCs w:val="24"/>
          <w:lang w:val="en-US"/>
        </w:rPr>
        <w:t>, January 25, 2018, Schrems/Facebook, C-498/16</w:t>
      </w:r>
      <w:r w:rsidR="0098113D">
        <w:rPr>
          <w:sz w:val="24"/>
          <w:szCs w:val="24"/>
          <w:lang w:val="en-US"/>
        </w:rPr>
        <w:t>, Gothaer, C-456/11</w:t>
      </w:r>
      <w:r w:rsidR="00A005F1">
        <w:rPr>
          <w:sz w:val="24"/>
          <w:szCs w:val="24"/>
          <w:lang w:val="en-US"/>
        </w:rPr>
        <w:t xml:space="preserve">. </w:t>
      </w:r>
    </w:p>
    <w:p w14:paraId="597D1FE7" w14:textId="77777777" w:rsidR="00873C28" w:rsidRDefault="001B6C68" w:rsidP="002C62B7">
      <w:pPr>
        <w:pStyle w:val="a3"/>
        <w:ind w:left="1440"/>
        <w:jc w:val="both"/>
        <w:rPr>
          <w:sz w:val="24"/>
          <w:szCs w:val="24"/>
          <w:lang w:val="en-US"/>
        </w:rPr>
      </w:pPr>
      <w:r>
        <w:rPr>
          <w:sz w:val="24"/>
          <w:szCs w:val="24"/>
          <w:lang w:val="en-US"/>
        </w:rPr>
        <w:lastRenderedPageBreak/>
        <w:t xml:space="preserve">  </w:t>
      </w:r>
    </w:p>
    <w:p w14:paraId="303DD07D" w14:textId="77777777" w:rsidR="00F9672A" w:rsidRDefault="00F9672A" w:rsidP="002C62B7">
      <w:pPr>
        <w:pStyle w:val="a3"/>
        <w:ind w:left="1440"/>
        <w:jc w:val="both"/>
        <w:rPr>
          <w:sz w:val="24"/>
          <w:szCs w:val="24"/>
          <w:lang w:val="en-US"/>
        </w:rPr>
      </w:pPr>
    </w:p>
    <w:p w14:paraId="4E7410A5" w14:textId="77777777" w:rsidR="00F9672A" w:rsidRPr="00873C28" w:rsidRDefault="00F9672A" w:rsidP="002C62B7">
      <w:pPr>
        <w:pStyle w:val="a3"/>
        <w:ind w:left="1440"/>
        <w:jc w:val="both"/>
        <w:rPr>
          <w:sz w:val="24"/>
          <w:szCs w:val="24"/>
          <w:lang w:val="en-US"/>
        </w:rPr>
      </w:pPr>
    </w:p>
    <w:p w14:paraId="55AF5D7C" w14:textId="77777777" w:rsidR="002C62B7" w:rsidRDefault="006161C8" w:rsidP="00511556">
      <w:pPr>
        <w:pStyle w:val="a3"/>
        <w:numPr>
          <w:ilvl w:val="0"/>
          <w:numId w:val="2"/>
        </w:numPr>
        <w:jc w:val="both"/>
        <w:rPr>
          <w:b/>
          <w:sz w:val="24"/>
          <w:szCs w:val="24"/>
          <w:lang w:val="en-US"/>
        </w:rPr>
      </w:pPr>
      <w:r>
        <w:rPr>
          <w:b/>
          <w:sz w:val="24"/>
          <w:szCs w:val="24"/>
          <w:lang w:val="en-US"/>
        </w:rPr>
        <w:t>Jurisdiction to grant provisional measures and enforcement of provisional measures in the European legal order</w:t>
      </w:r>
      <w:r w:rsidR="002C3702">
        <w:rPr>
          <w:b/>
          <w:sz w:val="24"/>
          <w:szCs w:val="24"/>
          <w:lang w:val="en-US"/>
        </w:rPr>
        <w:t>.</w:t>
      </w:r>
    </w:p>
    <w:p w14:paraId="43A24C31" w14:textId="77777777" w:rsidR="00EF4CF2" w:rsidRPr="00EF4A94" w:rsidRDefault="002C3702" w:rsidP="00EF4A94">
      <w:pPr>
        <w:pStyle w:val="a3"/>
        <w:ind w:left="1440"/>
        <w:jc w:val="both"/>
        <w:rPr>
          <w:sz w:val="24"/>
          <w:szCs w:val="24"/>
          <w:lang w:val="en-US"/>
        </w:rPr>
      </w:pPr>
      <w:r>
        <w:rPr>
          <w:sz w:val="24"/>
          <w:szCs w:val="24"/>
          <w:lang w:val="en-US"/>
        </w:rPr>
        <w:t>Pointers:</w:t>
      </w:r>
      <w:r w:rsidR="00A005F1">
        <w:rPr>
          <w:sz w:val="24"/>
          <w:szCs w:val="24"/>
          <w:lang w:val="en-US"/>
        </w:rPr>
        <w:t xml:space="preserve"> </w:t>
      </w:r>
      <w:r w:rsidR="00EF4A94">
        <w:rPr>
          <w:sz w:val="24"/>
          <w:szCs w:val="24"/>
          <w:lang w:val="en-US"/>
        </w:rPr>
        <w:t xml:space="preserve">Regulation 655/2014, </w:t>
      </w:r>
      <w:r w:rsidR="00A005F1">
        <w:rPr>
          <w:sz w:val="24"/>
          <w:szCs w:val="24"/>
          <w:lang w:val="en-US"/>
        </w:rPr>
        <w:t>Article 35 Regulation 1215/2012</w:t>
      </w:r>
      <w:r w:rsidR="00EF4A94">
        <w:rPr>
          <w:sz w:val="24"/>
          <w:szCs w:val="24"/>
          <w:lang w:val="en-US"/>
        </w:rPr>
        <w:t xml:space="preserve">: provisional measures by a court whilst another Member State court has jurisdiction as to the substance of the matter, Ex parte provisional measures, automatic right to any protective measures in the Member State of execution if there is an enforceable judgment as per article 40 of Regulation 1215/2012, article 42 par. 2 Regulation 1215/2012 for the purposes of enforcement of a judgment ordering provisional measures. </w:t>
      </w:r>
      <w:r w:rsidR="009948DA" w:rsidRPr="00EF4A94">
        <w:rPr>
          <w:sz w:val="24"/>
          <w:szCs w:val="24"/>
          <w:lang w:val="en-US"/>
        </w:rPr>
        <w:t xml:space="preserve">Asset-freezing orders, </w:t>
      </w:r>
      <w:r w:rsidR="00182723">
        <w:rPr>
          <w:sz w:val="24"/>
          <w:szCs w:val="24"/>
          <w:lang w:val="en-US"/>
        </w:rPr>
        <w:t>stay of execution as per article 44 par. 1c of Regulation 1215/2012</w:t>
      </w:r>
    </w:p>
    <w:p w14:paraId="4451CE17" w14:textId="77777777" w:rsidR="00742F92" w:rsidRDefault="00742F92" w:rsidP="002C3702">
      <w:pPr>
        <w:pStyle w:val="a3"/>
        <w:ind w:left="1440"/>
        <w:jc w:val="both"/>
        <w:rPr>
          <w:sz w:val="24"/>
          <w:szCs w:val="24"/>
          <w:lang w:val="en-US"/>
        </w:rPr>
      </w:pPr>
    </w:p>
    <w:p w14:paraId="115C1D7A" w14:textId="77777777" w:rsidR="003B5887" w:rsidRDefault="003B5887" w:rsidP="002C3702">
      <w:pPr>
        <w:pStyle w:val="a3"/>
        <w:ind w:left="1440"/>
        <w:jc w:val="both"/>
        <w:rPr>
          <w:sz w:val="24"/>
          <w:szCs w:val="24"/>
          <w:lang w:val="en-US"/>
        </w:rPr>
      </w:pPr>
      <w:r>
        <w:rPr>
          <w:sz w:val="24"/>
          <w:szCs w:val="24"/>
          <w:lang w:val="en-US"/>
        </w:rPr>
        <w:t>Cases: November 17, 1998, Van Uden, C-391/95</w:t>
      </w:r>
      <w:r w:rsidR="00A005F1">
        <w:rPr>
          <w:sz w:val="24"/>
          <w:szCs w:val="24"/>
          <w:lang w:val="en-US"/>
        </w:rPr>
        <w:t xml:space="preserve">, July 12, 2012, Solvay, C-616/10. </w:t>
      </w:r>
    </w:p>
    <w:p w14:paraId="15E391FC" w14:textId="77777777" w:rsidR="002C3702" w:rsidRPr="002C3702" w:rsidRDefault="002C3702" w:rsidP="002C3702">
      <w:pPr>
        <w:pStyle w:val="a3"/>
        <w:ind w:left="1440"/>
        <w:jc w:val="both"/>
        <w:rPr>
          <w:sz w:val="24"/>
          <w:szCs w:val="24"/>
          <w:lang w:val="en-US"/>
        </w:rPr>
      </w:pPr>
    </w:p>
    <w:p w14:paraId="56644105" w14:textId="77777777" w:rsidR="006161C8" w:rsidRDefault="004911CB" w:rsidP="00511556">
      <w:pPr>
        <w:pStyle w:val="a3"/>
        <w:numPr>
          <w:ilvl w:val="0"/>
          <w:numId w:val="2"/>
        </w:numPr>
        <w:jc w:val="both"/>
        <w:rPr>
          <w:b/>
          <w:sz w:val="24"/>
          <w:szCs w:val="24"/>
          <w:lang w:val="en-US"/>
        </w:rPr>
      </w:pPr>
      <w:r>
        <w:rPr>
          <w:b/>
          <w:sz w:val="24"/>
          <w:szCs w:val="24"/>
          <w:lang w:val="en-US"/>
        </w:rPr>
        <w:t>Grounds for refusal of recognition and enforcement of judgments in the EU</w:t>
      </w:r>
      <w:r w:rsidR="00565E2E">
        <w:rPr>
          <w:b/>
          <w:sz w:val="24"/>
          <w:szCs w:val="24"/>
          <w:lang w:val="en-US"/>
        </w:rPr>
        <w:t xml:space="preserve"> in civil and commercial matters</w:t>
      </w:r>
      <w:r>
        <w:rPr>
          <w:b/>
          <w:sz w:val="24"/>
          <w:szCs w:val="24"/>
          <w:lang w:val="en-US"/>
        </w:rPr>
        <w:t>.</w:t>
      </w:r>
    </w:p>
    <w:p w14:paraId="5F1F39CD" w14:textId="77777777" w:rsidR="00182723" w:rsidRPr="00EF4A94" w:rsidRDefault="002C3702" w:rsidP="00182723">
      <w:pPr>
        <w:pStyle w:val="a3"/>
        <w:ind w:left="1440"/>
        <w:jc w:val="both"/>
        <w:rPr>
          <w:sz w:val="24"/>
          <w:szCs w:val="24"/>
          <w:lang w:val="en-US"/>
        </w:rPr>
      </w:pPr>
      <w:r>
        <w:rPr>
          <w:sz w:val="24"/>
          <w:szCs w:val="24"/>
          <w:lang w:val="en-US"/>
        </w:rPr>
        <w:t>Pointers:</w:t>
      </w:r>
      <w:r w:rsidR="00EF4A94">
        <w:rPr>
          <w:sz w:val="24"/>
          <w:szCs w:val="24"/>
          <w:lang w:val="en-US"/>
        </w:rPr>
        <w:t xml:space="preserve"> article 45 Regulation 1215/2012</w:t>
      </w:r>
      <w:r w:rsidR="00182723">
        <w:rPr>
          <w:sz w:val="24"/>
          <w:szCs w:val="24"/>
          <w:lang w:val="en-US"/>
        </w:rPr>
        <w:t>, stay of execution as per article 44 par. 1c of Regulation 1215/2012</w:t>
      </w:r>
      <w:r w:rsidR="00C5219C">
        <w:rPr>
          <w:sz w:val="24"/>
          <w:szCs w:val="24"/>
          <w:lang w:val="en-US"/>
        </w:rPr>
        <w:t xml:space="preserve">, Article 45 reasons are not numerus clausus. </w:t>
      </w:r>
    </w:p>
    <w:p w14:paraId="4BF95745" w14:textId="77777777" w:rsidR="002C3702" w:rsidRDefault="002C3702" w:rsidP="002C3702">
      <w:pPr>
        <w:pStyle w:val="a3"/>
        <w:ind w:left="1440"/>
        <w:jc w:val="both"/>
        <w:rPr>
          <w:sz w:val="24"/>
          <w:szCs w:val="24"/>
          <w:lang w:val="en-US"/>
        </w:rPr>
      </w:pPr>
    </w:p>
    <w:p w14:paraId="3795DE30" w14:textId="77777777" w:rsidR="002C3702" w:rsidRPr="002C3702" w:rsidRDefault="002C3702" w:rsidP="002C3702">
      <w:pPr>
        <w:pStyle w:val="a3"/>
        <w:ind w:left="1440"/>
        <w:jc w:val="both"/>
        <w:rPr>
          <w:sz w:val="24"/>
          <w:szCs w:val="24"/>
          <w:lang w:val="en-US"/>
        </w:rPr>
      </w:pPr>
    </w:p>
    <w:p w14:paraId="0B79B567" w14:textId="77777777" w:rsidR="004911CB" w:rsidRDefault="00565E2E" w:rsidP="00511556">
      <w:pPr>
        <w:pStyle w:val="a3"/>
        <w:numPr>
          <w:ilvl w:val="0"/>
          <w:numId w:val="2"/>
        </w:numPr>
        <w:jc w:val="both"/>
        <w:rPr>
          <w:b/>
          <w:sz w:val="24"/>
          <w:szCs w:val="24"/>
          <w:lang w:val="en-US"/>
        </w:rPr>
      </w:pPr>
      <w:r>
        <w:rPr>
          <w:b/>
          <w:sz w:val="24"/>
          <w:szCs w:val="24"/>
          <w:lang w:val="en-US"/>
        </w:rPr>
        <w:t xml:space="preserve">Jurisdiction </w:t>
      </w:r>
      <w:r w:rsidR="00362042">
        <w:rPr>
          <w:b/>
          <w:sz w:val="24"/>
          <w:szCs w:val="24"/>
          <w:lang w:val="en-US"/>
        </w:rPr>
        <w:t>relating to tort, product liability, defamation and intellectual property infringements in the EU.</w:t>
      </w:r>
    </w:p>
    <w:p w14:paraId="5730DB5A" w14:textId="77777777" w:rsidR="002C3702" w:rsidRPr="008C6B0D" w:rsidRDefault="002C3702" w:rsidP="008C6B0D">
      <w:pPr>
        <w:pStyle w:val="a3"/>
        <w:ind w:left="1440"/>
        <w:jc w:val="both"/>
        <w:rPr>
          <w:sz w:val="24"/>
          <w:szCs w:val="24"/>
          <w:lang w:val="en-US"/>
        </w:rPr>
      </w:pPr>
      <w:r>
        <w:rPr>
          <w:sz w:val="24"/>
          <w:szCs w:val="24"/>
          <w:lang w:val="en-US"/>
        </w:rPr>
        <w:t xml:space="preserve">Pointers: </w:t>
      </w:r>
      <w:r w:rsidR="00AB29E8">
        <w:rPr>
          <w:sz w:val="24"/>
          <w:szCs w:val="24"/>
          <w:lang w:val="en-US"/>
        </w:rPr>
        <w:t>Article 7 (2) Regulation 1215/2012, delimitation from art. 7(1) on jurisdiction on matters relating to contracts</w:t>
      </w:r>
      <w:r w:rsidR="00F53438">
        <w:rPr>
          <w:sz w:val="24"/>
          <w:szCs w:val="24"/>
          <w:lang w:val="en-US"/>
        </w:rPr>
        <w:t xml:space="preserve"> (is it necessary to interpret the contract to establish the unlawful nature of the conduct in question?)</w:t>
      </w:r>
      <w:r w:rsidR="00AB29E8">
        <w:rPr>
          <w:sz w:val="24"/>
          <w:szCs w:val="24"/>
          <w:lang w:val="en-US"/>
        </w:rPr>
        <w:t xml:space="preserve">, </w:t>
      </w:r>
      <w:r w:rsidR="005F35A6">
        <w:rPr>
          <w:sz w:val="24"/>
          <w:szCs w:val="24"/>
          <w:lang w:val="en-US"/>
        </w:rPr>
        <w:t xml:space="preserve">place where the event </w:t>
      </w:r>
      <w:r w:rsidR="008C6B0D">
        <w:rPr>
          <w:sz w:val="24"/>
          <w:szCs w:val="24"/>
          <w:lang w:val="en-US"/>
        </w:rPr>
        <w:t>occurred,</w:t>
      </w:r>
      <w:r w:rsidR="005F35A6">
        <w:rPr>
          <w:sz w:val="24"/>
          <w:szCs w:val="24"/>
          <w:lang w:val="en-US"/>
        </w:rPr>
        <w:t xml:space="preserve"> place where the event resulted in damage, </w:t>
      </w:r>
      <w:r w:rsidR="008C6B0D">
        <w:rPr>
          <w:sz w:val="24"/>
          <w:szCs w:val="24"/>
          <w:lang w:val="en-US"/>
        </w:rPr>
        <w:t>territorial character of IP rights infringements, ‘Mosaic theory’ when torts in different States (print media, online publications – see Fionna Shevill, eDate Advertising, Bolagsupplysningen</w:t>
      </w:r>
      <w:r w:rsidR="008C6B0D" w:rsidRPr="008C6B0D">
        <w:rPr>
          <w:sz w:val="24"/>
          <w:szCs w:val="24"/>
          <w:lang w:val="en-US"/>
        </w:rPr>
        <w:t>),</w:t>
      </w:r>
      <w:r w:rsidR="00377DC3">
        <w:rPr>
          <w:sz w:val="24"/>
          <w:szCs w:val="24"/>
          <w:lang w:val="en-US"/>
        </w:rPr>
        <w:t xml:space="preserve"> ‘centre of interest’ of the victim</w:t>
      </w:r>
      <w:r w:rsidR="00C5219C">
        <w:rPr>
          <w:sz w:val="24"/>
          <w:szCs w:val="24"/>
          <w:lang w:val="en-US"/>
        </w:rPr>
        <w:t>, the issue of co-perpetrators</w:t>
      </w:r>
      <w:r w:rsidR="00270369">
        <w:rPr>
          <w:sz w:val="24"/>
          <w:szCs w:val="24"/>
          <w:lang w:val="en-US"/>
        </w:rPr>
        <w:t>, territorial limitation of jurisdiction to the damage occurring in the forum state for trademarks and copyrights</w:t>
      </w:r>
      <w:r w:rsidR="00C5219C">
        <w:rPr>
          <w:sz w:val="24"/>
          <w:szCs w:val="24"/>
          <w:lang w:val="en-US"/>
        </w:rPr>
        <w:t xml:space="preserve">. </w:t>
      </w:r>
      <w:r w:rsidR="008C6B0D" w:rsidRPr="008C6B0D">
        <w:rPr>
          <w:sz w:val="24"/>
          <w:szCs w:val="24"/>
          <w:lang w:val="en-US"/>
        </w:rPr>
        <w:t xml:space="preserve"> </w:t>
      </w:r>
    </w:p>
    <w:p w14:paraId="085BE89C" w14:textId="77777777" w:rsidR="002C3702" w:rsidRPr="002C3702" w:rsidRDefault="002C3702" w:rsidP="002C3702">
      <w:pPr>
        <w:pStyle w:val="a3"/>
        <w:ind w:left="1440"/>
        <w:jc w:val="both"/>
        <w:rPr>
          <w:sz w:val="24"/>
          <w:szCs w:val="24"/>
          <w:lang w:val="en-US"/>
        </w:rPr>
      </w:pPr>
    </w:p>
    <w:p w14:paraId="48F76524" w14:textId="77777777" w:rsidR="002C3702" w:rsidRDefault="00AB29E8" w:rsidP="00AB29E8">
      <w:pPr>
        <w:pStyle w:val="a3"/>
        <w:ind w:left="1440"/>
        <w:jc w:val="both"/>
        <w:rPr>
          <w:sz w:val="24"/>
          <w:szCs w:val="24"/>
          <w:lang w:val="en-US"/>
        </w:rPr>
      </w:pPr>
      <w:r>
        <w:rPr>
          <w:sz w:val="24"/>
          <w:szCs w:val="24"/>
          <w:lang w:val="en-US"/>
        </w:rPr>
        <w:t xml:space="preserve">Cases: </w:t>
      </w:r>
      <w:r w:rsidR="00F53438">
        <w:rPr>
          <w:sz w:val="24"/>
          <w:szCs w:val="24"/>
          <w:lang w:val="en-US"/>
        </w:rPr>
        <w:t xml:space="preserve">September 27, 1988, Kalfelis/Schoeder, 189/87, </w:t>
      </w:r>
      <w:r w:rsidR="00E9204C">
        <w:rPr>
          <w:sz w:val="24"/>
          <w:szCs w:val="24"/>
          <w:lang w:val="en-US"/>
        </w:rPr>
        <w:t xml:space="preserve">October 27, 1998, Réunion européenne, C-51/97, </w:t>
      </w:r>
      <w:r w:rsidR="00F9605E">
        <w:rPr>
          <w:sz w:val="24"/>
          <w:szCs w:val="24"/>
          <w:lang w:val="en-US"/>
        </w:rPr>
        <w:t xml:space="preserve">March 13, 2014, </w:t>
      </w:r>
      <w:r w:rsidR="00F53438">
        <w:rPr>
          <w:sz w:val="24"/>
          <w:szCs w:val="24"/>
          <w:lang w:val="en-US"/>
        </w:rPr>
        <w:t xml:space="preserve">Brogsitter, C-548/12, </w:t>
      </w:r>
      <w:r w:rsidR="00F9605E">
        <w:rPr>
          <w:sz w:val="24"/>
          <w:szCs w:val="24"/>
          <w:lang w:val="en-US"/>
        </w:rPr>
        <w:t xml:space="preserve">October 25, 2012, Folien Fisher, </w:t>
      </w:r>
      <w:r w:rsidR="00E9204C">
        <w:rPr>
          <w:sz w:val="24"/>
          <w:szCs w:val="24"/>
          <w:lang w:val="en-US"/>
        </w:rPr>
        <w:t>October 4, 2018, Feniks, C-</w:t>
      </w:r>
      <w:r w:rsidR="00E9204C">
        <w:rPr>
          <w:sz w:val="24"/>
          <w:szCs w:val="24"/>
          <w:lang w:val="en-US"/>
        </w:rPr>
        <w:lastRenderedPageBreak/>
        <w:t xml:space="preserve">337/17, April 3, 2014, Hi Hotel, C-387/12, July 5, 2018, Fly Lal-Lithuanian Airlines, C -27/17, October 3, 2013, Peter Pinckney, C-170/12, January 22, 2015, Hedjuk, C-441/13, December 21, 2016, Concurrence, C-618/15, April 19, 2012, Wintersteiger, C-523/10, July 16, 2009, Zuid Chemie, C-189/08, </w:t>
      </w:r>
      <w:r w:rsidR="009C6123">
        <w:rPr>
          <w:sz w:val="24"/>
          <w:szCs w:val="24"/>
          <w:lang w:val="en-US"/>
        </w:rPr>
        <w:t xml:space="preserve">May 21, 2015, CDC, C-352/13, January 28, 2015, Kolassa Barclays, C-375/13, September 12, 2018, Helga Löber/Barclays, C-304/17, March 7, 1995, Fionna Shevill, C-68/93, October 25, 2011, eDate Advertising, C-509/09, October 17, 2017, Bolagsupplysningen, C-194/16. </w:t>
      </w:r>
    </w:p>
    <w:p w14:paraId="3CDA1101" w14:textId="77777777" w:rsidR="00041F09" w:rsidRDefault="00041F09" w:rsidP="00AB29E8">
      <w:pPr>
        <w:pStyle w:val="a3"/>
        <w:ind w:left="1440"/>
        <w:jc w:val="both"/>
        <w:rPr>
          <w:sz w:val="24"/>
          <w:szCs w:val="24"/>
          <w:lang w:val="en-US"/>
        </w:rPr>
      </w:pPr>
    </w:p>
    <w:p w14:paraId="52FC2544" w14:textId="700C2EE4" w:rsidR="00041F09" w:rsidRPr="00AB29E8" w:rsidRDefault="00041F09" w:rsidP="00041F09">
      <w:pPr>
        <w:pStyle w:val="a3"/>
        <w:numPr>
          <w:ilvl w:val="0"/>
          <w:numId w:val="2"/>
        </w:numPr>
        <w:jc w:val="both"/>
        <w:rPr>
          <w:sz w:val="24"/>
          <w:szCs w:val="24"/>
          <w:lang w:val="en-US"/>
        </w:rPr>
      </w:pPr>
      <w:r>
        <w:rPr>
          <w:b/>
          <w:bCs/>
          <w:sz w:val="24"/>
          <w:szCs w:val="24"/>
          <w:lang w:val="en-US"/>
        </w:rPr>
        <w:t>Brexit: Procedural Consequences</w:t>
      </w:r>
    </w:p>
    <w:p w14:paraId="55EFDFF5" w14:textId="77777777" w:rsidR="006F5B76" w:rsidRDefault="006F5B76" w:rsidP="006F5B76">
      <w:pPr>
        <w:jc w:val="both"/>
        <w:rPr>
          <w:b/>
          <w:sz w:val="24"/>
          <w:szCs w:val="24"/>
          <w:lang w:val="en-US"/>
        </w:rPr>
      </w:pPr>
    </w:p>
    <w:p w14:paraId="6E6F9796" w14:textId="77777777" w:rsidR="006F5B76" w:rsidRPr="006F5B76" w:rsidRDefault="006F5B76" w:rsidP="006F5B76">
      <w:pPr>
        <w:jc w:val="both"/>
        <w:rPr>
          <w:b/>
          <w:sz w:val="24"/>
          <w:szCs w:val="24"/>
          <w:lang w:val="en-US"/>
        </w:rPr>
      </w:pPr>
    </w:p>
    <w:p w14:paraId="4A1750AD" w14:textId="5B80E134" w:rsidR="00511556" w:rsidRPr="00511556" w:rsidRDefault="00756C50" w:rsidP="00511556">
      <w:pPr>
        <w:pStyle w:val="a3"/>
        <w:numPr>
          <w:ilvl w:val="0"/>
          <w:numId w:val="1"/>
        </w:numPr>
        <w:jc w:val="both"/>
        <w:rPr>
          <w:b/>
          <w:sz w:val="24"/>
          <w:szCs w:val="24"/>
          <w:lang w:val="en-US"/>
        </w:rPr>
      </w:pPr>
      <w:r>
        <w:rPr>
          <w:b/>
          <w:sz w:val="24"/>
          <w:szCs w:val="24"/>
        </w:rPr>
        <w:t>30</w:t>
      </w:r>
      <w:r w:rsidR="00E10055">
        <w:rPr>
          <w:b/>
          <w:sz w:val="24"/>
          <w:szCs w:val="24"/>
          <w:lang w:val="en-US"/>
        </w:rPr>
        <w:t>-</w:t>
      </w:r>
      <w:r>
        <w:rPr>
          <w:b/>
          <w:sz w:val="24"/>
          <w:szCs w:val="24"/>
        </w:rPr>
        <w:t>3</w:t>
      </w:r>
      <w:r w:rsidR="00E10055">
        <w:rPr>
          <w:b/>
          <w:sz w:val="24"/>
          <w:szCs w:val="24"/>
          <w:lang w:val="en-US"/>
        </w:rPr>
        <w:t>5 minutes oral presentation</w:t>
      </w:r>
      <w:r w:rsidR="00717EFB">
        <w:rPr>
          <w:b/>
          <w:sz w:val="24"/>
          <w:szCs w:val="24"/>
          <w:lang w:val="en-US"/>
        </w:rPr>
        <w:t>s</w:t>
      </w:r>
      <w:r w:rsidR="00E10055">
        <w:rPr>
          <w:b/>
          <w:sz w:val="24"/>
          <w:szCs w:val="24"/>
          <w:lang w:val="en-US"/>
        </w:rPr>
        <w:t>.</w:t>
      </w:r>
    </w:p>
    <w:sectPr w:rsidR="00511556" w:rsidRPr="00511556" w:rsidSect="0000002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6401" w14:textId="77777777" w:rsidR="002F57D1" w:rsidRDefault="002F57D1" w:rsidP="00EF4A94">
      <w:pPr>
        <w:spacing w:after="0" w:line="240" w:lineRule="auto"/>
      </w:pPr>
      <w:r>
        <w:separator/>
      </w:r>
    </w:p>
  </w:endnote>
  <w:endnote w:type="continuationSeparator" w:id="0">
    <w:p w14:paraId="78F1BD11" w14:textId="77777777" w:rsidR="002F57D1" w:rsidRDefault="002F57D1" w:rsidP="00EF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218C" w14:textId="77777777" w:rsidR="002F57D1" w:rsidRDefault="002F57D1" w:rsidP="00EF4A94">
      <w:pPr>
        <w:spacing w:after="0" w:line="240" w:lineRule="auto"/>
      </w:pPr>
      <w:r>
        <w:separator/>
      </w:r>
    </w:p>
  </w:footnote>
  <w:footnote w:type="continuationSeparator" w:id="0">
    <w:p w14:paraId="6B9FACA7" w14:textId="77777777" w:rsidR="002F57D1" w:rsidRDefault="002F57D1" w:rsidP="00EF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5563"/>
      <w:docPartObj>
        <w:docPartGallery w:val="Page Numbers (Top of Page)"/>
        <w:docPartUnique/>
      </w:docPartObj>
    </w:sdtPr>
    <w:sdtContent>
      <w:p w14:paraId="602DD90B" w14:textId="77777777" w:rsidR="00EF4A94" w:rsidRDefault="0009517C">
        <w:pPr>
          <w:pStyle w:val="a4"/>
        </w:pPr>
        <w:r>
          <w:fldChar w:fldCharType="begin"/>
        </w:r>
        <w:r w:rsidR="000D34E2">
          <w:instrText xml:space="preserve"> PAGE   \* MERGEFORMAT </w:instrText>
        </w:r>
        <w:r>
          <w:fldChar w:fldCharType="separate"/>
        </w:r>
        <w:r w:rsidR="00425216">
          <w:rPr>
            <w:noProof/>
          </w:rPr>
          <w:t>1</w:t>
        </w:r>
        <w:r>
          <w:rPr>
            <w:noProof/>
          </w:rPr>
          <w:fldChar w:fldCharType="end"/>
        </w:r>
      </w:p>
    </w:sdtContent>
  </w:sdt>
  <w:p w14:paraId="59EC7547" w14:textId="77777777" w:rsidR="00EF4A94" w:rsidRDefault="00EF4A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67"/>
    <w:multiLevelType w:val="hybridMultilevel"/>
    <w:tmpl w:val="C6E27F50"/>
    <w:lvl w:ilvl="0" w:tplc="98C4334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934370"/>
    <w:multiLevelType w:val="hybridMultilevel"/>
    <w:tmpl w:val="8A16D956"/>
    <w:lvl w:ilvl="0" w:tplc="3F2A948E">
      <w:start w:val="1"/>
      <w:numFmt w:val="decimal"/>
      <w:lvlText w:val="%1."/>
      <w:lvlJc w:val="left"/>
      <w:pPr>
        <w:ind w:left="1440" w:hanging="360"/>
      </w:pPr>
      <w:rPr>
        <w:rFonts w:hint="default"/>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16cid:durableId="1450664237">
    <w:abstractNumId w:val="0"/>
  </w:num>
  <w:num w:numId="2" w16cid:durableId="61166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56"/>
    <w:rsid w:val="00000026"/>
    <w:rsid w:val="000244A2"/>
    <w:rsid w:val="00041F09"/>
    <w:rsid w:val="0009517C"/>
    <w:rsid w:val="000B1702"/>
    <w:rsid w:val="000D2865"/>
    <w:rsid w:val="000D34E2"/>
    <w:rsid w:val="0012599E"/>
    <w:rsid w:val="00175A75"/>
    <w:rsid w:val="00182723"/>
    <w:rsid w:val="001B6C68"/>
    <w:rsid w:val="00270369"/>
    <w:rsid w:val="002A53C8"/>
    <w:rsid w:val="002C3702"/>
    <w:rsid w:val="002C62B7"/>
    <w:rsid w:val="002E3146"/>
    <w:rsid w:val="002F57D1"/>
    <w:rsid w:val="0034493F"/>
    <w:rsid w:val="00362042"/>
    <w:rsid w:val="00377DC3"/>
    <w:rsid w:val="003B5887"/>
    <w:rsid w:val="00406120"/>
    <w:rsid w:val="00410D67"/>
    <w:rsid w:val="00425216"/>
    <w:rsid w:val="004402B8"/>
    <w:rsid w:val="004911CB"/>
    <w:rsid w:val="004E7511"/>
    <w:rsid w:val="00511556"/>
    <w:rsid w:val="00533AAD"/>
    <w:rsid w:val="00565E2E"/>
    <w:rsid w:val="005F35A6"/>
    <w:rsid w:val="006161C8"/>
    <w:rsid w:val="00625D28"/>
    <w:rsid w:val="006A736C"/>
    <w:rsid w:val="006D1836"/>
    <w:rsid w:val="006D706B"/>
    <w:rsid w:val="006F5B76"/>
    <w:rsid w:val="00717EFB"/>
    <w:rsid w:val="00742F92"/>
    <w:rsid w:val="00756C50"/>
    <w:rsid w:val="00772318"/>
    <w:rsid w:val="00773B4B"/>
    <w:rsid w:val="00773C47"/>
    <w:rsid w:val="007A7D39"/>
    <w:rsid w:val="00824A5A"/>
    <w:rsid w:val="00873C28"/>
    <w:rsid w:val="008C6B0D"/>
    <w:rsid w:val="0096260B"/>
    <w:rsid w:val="0098113D"/>
    <w:rsid w:val="009948DA"/>
    <w:rsid w:val="00995AD0"/>
    <w:rsid w:val="009A7155"/>
    <w:rsid w:val="009C6123"/>
    <w:rsid w:val="009E3130"/>
    <w:rsid w:val="009F76D7"/>
    <w:rsid w:val="00A005F1"/>
    <w:rsid w:val="00A01D47"/>
    <w:rsid w:val="00A42BC3"/>
    <w:rsid w:val="00AB29E8"/>
    <w:rsid w:val="00AD178A"/>
    <w:rsid w:val="00AE4245"/>
    <w:rsid w:val="00AF5582"/>
    <w:rsid w:val="00B4052D"/>
    <w:rsid w:val="00BF2653"/>
    <w:rsid w:val="00C41A1D"/>
    <w:rsid w:val="00C5219C"/>
    <w:rsid w:val="00C61353"/>
    <w:rsid w:val="00CD64B6"/>
    <w:rsid w:val="00CE5973"/>
    <w:rsid w:val="00CF7DD2"/>
    <w:rsid w:val="00D11CA5"/>
    <w:rsid w:val="00D30058"/>
    <w:rsid w:val="00D30DFC"/>
    <w:rsid w:val="00D34720"/>
    <w:rsid w:val="00D722A3"/>
    <w:rsid w:val="00DD0AF5"/>
    <w:rsid w:val="00DE773D"/>
    <w:rsid w:val="00E10055"/>
    <w:rsid w:val="00E70860"/>
    <w:rsid w:val="00E9204C"/>
    <w:rsid w:val="00E96CBE"/>
    <w:rsid w:val="00EF4A94"/>
    <w:rsid w:val="00EF4CF2"/>
    <w:rsid w:val="00F53438"/>
    <w:rsid w:val="00F924CD"/>
    <w:rsid w:val="00F9605E"/>
    <w:rsid w:val="00F96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F22E"/>
  <w15:docId w15:val="{53D406E9-B22C-4E3E-A368-1BD153E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0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556"/>
    <w:pPr>
      <w:ind w:left="720"/>
      <w:contextualSpacing/>
    </w:pPr>
  </w:style>
  <w:style w:type="paragraph" w:styleId="a4">
    <w:name w:val="header"/>
    <w:basedOn w:val="a"/>
    <w:link w:val="Char"/>
    <w:uiPriority w:val="99"/>
    <w:unhideWhenUsed/>
    <w:rsid w:val="00EF4A94"/>
    <w:pPr>
      <w:tabs>
        <w:tab w:val="center" w:pos="4153"/>
        <w:tab w:val="right" w:pos="8306"/>
      </w:tabs>
      <w:spacing w:after="0" w:line="240" w:lineRule="auto"/>
    </w:pPr>
  </w:style>
  <w:style w:type="character" w:customStyle="1" w:styleId="Char">
    <w:name w:val="Κεφαλίδα Char"/>
    <w:basedOn w:val="a0"/>
    <w:link w:val="a4"/>
    <w:uiPriority w:val="99"/>
    <w:rsid w:val="00EF4A94"/>
  </w:style>
  <w:style w:type="paragraph" w:styleId="a5">
    <w:name w:val="footer"/>
    <w:basedOn w:val="a"/>
    <w:link w:val="Char0"/>
    <w:uiPriority w:val="99"/>
    <w:semiHidden/>
    <w:unhideWhenUsed/>
    <w:rsid w:val="00EF4A94"/>
    <w:pPr>
      <w:tabs>
        <w:tab w:val="center" w:pos="4153"/>
        <w:tab w:val="right" w:pos="8306"/>
      </w:tabs>
      <w:spacing w:after="0" w:line="240" w:lineRule="auto"/>
    </w:pPr>
  </w:style>
  <w:style w:type="character" w:customStyle="1" w:styleId="Char0">
    <w:name w:val="Υποσέλιδο Char"/>
    <w:basedOn w:val="a0"/>
    <w:link w:val="a5"/>
    <w:uiPriority w:val="99"/>
    <w:semiHidden/>
    <w:rsid w:val="00EF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5926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ioannis Del</cp:lastModifiedBy>
  <cp:revision>8</cp:revision>
  <dcterms:created xsi:type="dcterms:W3CDTF">2023-09-28T06:48:00Z</dcterms:created>
  <dcterms:modified xsi:type="dcterms:W3CDTF">2023-09-28T06:55:00Z</dcterms:modified>
</cp:coreProperties>
</file>